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2C2132"/>
    <w:p w14:paraId="48F45628">
      <w:pPr>
        <w:jc w:val="center"/>
        <w:rPr>
          <w:b/>
          <w:sz w:val="32"/>
          <w:szCs w:val="32"/>
        </w:rPr>
      </w:pPr>
      <w:r>
        <w:rPr>
          <w:rFonts w:hint="eastAsia"/>
          <w:b/>
          <w:sz w:val="32"/>
          <w:szCs w:val="32"/>
        </w:rPr>
        <w:t>高频往复式摩擦磨损试验机校准规范</w:t>
      </w:r>
      <w:r>
        <w:rPr>
          <w:rFonts w:hint="eastAsia"/>
          <w:b/>
          <w:sz w:val="32"/>
          <w:szCs w:val="32"/>
          <w:lang w:val="en-US" w:eastAsia="zh-CN"/>
        </w:rPr>
        <w:t>编制</w:t>
      </w:r>
      <w:r>
        <w:rPr>
          <w:rFonts w:hint="eastAsia"/>
          <w:b/>
          <w:sz w:val="32"/>
          <w:szCs w:val="32"/>
        </w:rPr>
        <w:t>说明</w:t>
      </w:r>
    </w:p>
    <w:p w14:paraId="151844D3">
      <w:pPr>
        <w:rPr>
          <w:rFonts w:hint="eastAsia" w:ascii="黑体" w:hAnsi="黑体" w:eastAsia="黑体"/>
          <w:sz w:val="28"/>
          <w:szCs w:val="28"/>
          <w:lang w:val="en-US" w:eastAsia="zh-CN"/>
        </w:rPr>
      </w:pPr>
      <w:r>
        <w:rPr>
          <w:rFonts w:hint="eastAsia" w:ascii="黑体" w:hAnsi="黑体" w:eastAsia="黑体"/>
          <w:sz w:val="28"/>
          <w:szCs w:val="28"/>
        </w:rPr>
        <w:t>1  任务</w:t>
      </w:r>
      <w:r>
        <w:rPr>
          <w:rFonts w:hint="eastAsia" w:ascii="黑体" w:hAnsi="黑体" w:eastAsia="黑体"/>
          <w:sz w:val="28"/>
          <w:szCs w:val="28"/>
          <w:lang w:val="en-US" w:eastAsia="zh-CN"/>
        </w:rPr>
        <w:t>来源</w:t>
      </w:r>
    </w:p>
    <w:p w14:paraId="537F5C78">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根据国家市场监督管理总局202</w:t>
      </w:r>
      <w:r>
        <w:rPr>
          <w:rFonts w:hint="eastAsia" w:ascii="Times New Roman" w:hAnsi="Times New Roman" w:cs="Times New Roman"/>
          <w:sz w:val="24"/>
          <w:lang w:val="en-US" w:eastAsia="zh-CN"/>
        </w:rPr>
        <w:t>2</w:t>
      </w:r>
      <w:r>
        <w:rPr>
          <w:rFonts w:hint="eastAsia" w:ascii="Times New Roman" w:hAnsi="Times New Roman" w:cs="Times New Roman"/>
          <w:sz w:val="24"/>
        </w:rPr>
        <w:t>年国家计量技术法规计划立项，由</w:t>
      </w:r>
      <w:r>
        <w:rPr>
          <w:rFonts w:hint="eastAsia" w:ascii="Times New Roman" w:hAnsi="Times New Roman" w:cs="Times New Roman"/>
          <w:sz w:val="24"/>
          <w:lang w:val="en-US" w:eastAsia="zh-CN"/>
        </w:rPr>
        <w:t>中国</w:t>
      </w:r>
      <w:r>
        <w:rPr>
          <w:rFonts w:hint="eastAsia" w:ascii="Times New Roman" w:hAnsi="Times New Roman" w:cs="Times New Roman"/>
          <w:sz w:val="24"/>
        </w:rPr>
        <w:t>计量科学研究院主要承担《高频往复式摩擦磨损试验机校准规范》的制/修订工作。</w:t>
      </w:r>
    </w:p>
    <w:p w14:paraId="67F448AC">
      <w:pPr>
        <w:rPr>
          <w:rFonts w:ascii="黑体" w:hAnsi="黑体" w:eastAsia="黑体"/>
          <w:sz w:val="28"/>
          <w:szCs w:val="28"/>
        </w:rPr>
      </w:pPr>
      <w:r>
        <w:rPr>
          <w:rFonts w:hint="eastAsia" w:ascii="黑体" w:hAnsi="黑体" w:eastAsia="黑体"/>
          <w:sz w:val="28"/>
          <w:szCs w:val="28"/>
        </w:rPr>
        <w:t>2  规范制定的必要性</w:t>
      </w:r>
    </w:p>
    <w:p w14:paraId="6C453DBA">
      <w:pPr>
        <w:spacing w:line="360" w:lineRule="auto"/>
        <w:ind w:firstLine="555"/>
        <w:rPr>
          <w:rFonts w:ascii="Times New Roman" w:hAnsi="Times New Roman" w:cs="Times New Roman"/>
          <w:sz w:val="24"/>
        </w:rPr>
      </w:pPr>
      <w:r>
        <w:rPr>
          <w:rFonts w:hint="eastAsia" w:ascii="Times New Roman" w:hAnsi="Times New Roman" w:cs="Times New Roman"/>
          <w:sz w:val="24"/>
        </w:rPr>
        <w:t>在能源日益紧缺的大环境下，各国计量机构均对材料的摩擦磨损开展了计量研究，以NIST、AIST为例，开展了大量摩擦润滑性能计量测试研究工作；标准化领域，美国、德国针对润滑与摩擦磨损评价需求，建立了大量国际(ISO)及行业标准，其中行业标准以ASTM和DIN标准为领衔。高频往复式</w:t>
      </w:r>
      <w:r>
        <w:rPr>
          <w:rFonts w:ascii="Times New Roman" w:hAnsi="Times New Roman" w:cs="Times New Roman"/>
          <w:sz w:val="24"/>
        </w:rPr>
        <w:t>摩擦磨损试验机是评定各类润滑材料的极压抗磨性和减摩性以及从事摩擦学研究的计量仪器，具有操作简单、测定速度快等突出优点，在基础油、添加剂、复合配方性能评定以及油品质量监督检验等方面使用广泛，也是进行摩擦学理论研究的最常用工具。为了保证</w:t>
      </w:r>
      <w:r>
        <w:rPr>
          <w:rFonts w:hint="eastAsia" w:ascii="Times New Roman" w:hAnsi="Times New Roman" w:cs="Times New Roman"/>
          <w:sz w:val="24"/>
        </w:rPr>
        <w:t>高频往复式摩擦磨损试验机</w:t>
      </w:r>
      <w:r>
        <w:rPr>
          <w:rFonts w:ascii="Times New Roman" w:hAnsi="Times New Roman" w:cs="Times New Roman"/>
          <w:sz w:val="24"/>
        </w:rPr>
        <w:t>的产品质量，保证量值准确统一。</w:t>
      </w:r>
    </w:p>
    <w:p w14:paraId="3FB4B613">
      <w:pPr>
        <w:spacing w:line="360" w:lineRule="auto"/>
        <w:ind w:firstLine="480" w:firstLineChars="200"/>
        <w:rPr>
          <w:rFonts w:ascii="Times New Roman" w:hAnsi="Times New Roman" w:cs="Times New Roman"/>
          <w:sz w:val="24"/>
        </w:rPr>
      </w:pPr>
      <w:r>
        <w:rPr>
          <w:rFonts w:hint="eastAsia" w:ascii="Times New Roman" w:hAnsi="Times New Roman" w:cs="Times New Roman"/>
          <w:sz w:val="24"/>
          <w:lang w:val="en-US" w:eastAsia="zh-CN"/>
        </w:rPr>
        <w:t>此前受到技术条件限制，国内相关产品数量较少，且多数为国外进口仪器，另润滑与摩擦过程复杂，在对于仪器、测试机理理解不充分的情况下，一直缺乏相关的计量校准规程规范，溯源问题待解决。近年来，一方面随着国内仪器设备开发能力、润滑摩擦机理的研究能力逐步提升，另一方面国内的相关设备使用者逐年增加，且国产设备也逐渐占据市场。但不同品牌，甚至同一品牌不同实验室的设备得到的结果差异性显著，简单的实验室比对中人为判定因素较多，无法支撑国内量值统一并解决贸易中的相关争议。</w:t>
      </w:r>
      <w:r>
        <w:rPr>
          <w:rFonts w:ascii="Times New Roman" w:hAnsi="Times New Roman" w:cs="Times New Roman"/>
          <w:sz w:val="24"/>
        </w:rPr>
        <w:t>为了适应这些发展变化，满足使用行业的需求，急需制定新的摩擦磨损试验机计量校准规范，以满足摩擦磨损试验机用户和生产厂家的量值溯源需求。</w:t>
      </w:r>
    </w:p>
    <w:p w14:paraId="14D12D40">
      <w:pPr>
        <w:rPr>
          <w:rFonts w:ascii="黑体" w:hAnsi="黑体" w:eastAsia="黑体"/>
          <w:sz w:val="28"/>
          <w:szCs w:val="28"/>
        </w:rPr>
      </w:pPr>
      <w:r>
        <w:rPr>
          <w:rFonts w:hint="eastAsia" w:ascii="黑体" w:hAnsi="黑体" w:eastAsia="黑体"/>
          <w:sz w:val="28"/>
          <w:szCs w:val="28"/>
        </w:rPr>
        <w:t xml:space="preserve">3  </w:t>
      </w:r>
      <w:r>
        <w:rPr>
          <w:rFonts w:ascii="黑体" w:hAnsi="黑体" w:eastAsia="黑体"/>
          <w:sz w:val="28"/>
          <w:szCs w:val="28"/>
        </w:rPr>
        <w:t>《</w:t>
      </w:r>
      <w:r>
        <w:rPr>
          <w:rFonts w:hint="eastAsia" w:ascii="黑体" w:hAnsi="黑体" w:eastAsia="黑体"/>
          <w:sz w:val="28"/>
          <w:szCs w:val="28"/>
        </w:rPr>
        <w:t>高频往复式</w:t>
      </w:r>
      <w:r>
        <w:rPr>
          <w:rFonts w:ascii="黑体" w:hAnsi="黑体" w:eastAsia="黑体"/>
          <w:sz w:val="28"/>
          <w:szCs w:val="28"/>
        </w:rPr>
        <w:t>摩擦磨损试验机校准规范》制定过程</w:t>
      </w:r>
    </w:p>
    <w:p w14:paraId="04219289">
      <w:pPr>
        <w:spacing w:line="360" w:lineRule="auto"/>
        <w:ind w:firstLine="480" w:firstLineChars="200"/>
        <w:rPr>
          <w:rFonts w:ascii="Times New Roman" w:hAnsi="Times New Roman" w:cs="Times New Roman"/>
          <w:sz w:val="24"/>
        </w:rPr>
      </w:pPr>
      <w:r>
        <w:rPr>
          <w:rFonts w:ascii="Times New Roman" w:hAnsi="Times New Roman" w:cs="Times New Roman"/>
          <w:sz w:val="24"/>
        </w:rPr>
        <w:t>1、20</w:t>
      </w:r>
      <w:r>
        <w:rPr>
          <w:rFonts w:hint="eastAsia" w:ascii="Times New Roman" w:hAnsi="Times New Roman" w:cs="Times New Roman"/>
          <w:sz w:val="24"/>
        </w:rPr>
        <w:t>2</w:t>
      </w:r>
      <w:r>
        <w:rPr>
          <w:rFonts w:hint="eastAsia" w:ascii="Times New Roman" w:hAnsi="Times New Roman" w:cs="Times New Roman"/>
          <w:sz w:val="24"/>
          <w:lang w:val="en-US" w:eastAsia="zh-CN"/>
        </w:rPr>
        <w:t>2</w:t>
      </w:r>
      <w:r>
        <w:rPr>
          <w:rFonts w:ascii="Times New Roman" w:hAnsi="Times New Roman" w:cs="Times New Roman"/>
          <w:sz w:val="24"/>
        </w:rPr>
        <w:t>年列入制定计划，初步拟定工作计划，20</w:t>
      </w:r>
      <w:r>
        <w:rPr>
          <w:rFonts w:hint="eastAsia" w:ascii="Times New Roman" w:hAnsi="Times New Roman" w:cs="Times New Roman"/>
          <w:sz w:val="24"/>
        </w:rPr>
        <w:t>2</w:t>
      </w:r>
      <w:r>
        <w:rPr>
          <w:rFonts w:hint="eastAsia" w:ascii="Times New Roman" w:hAnsi="Times New Roman" w:cs="Times New Roman"/>
          <w:sz w:val="24"/>
          <w:lang w:val="en-US" w:eastAsia="zh-CN"/>
        </w:rPr>
        <w:t>2</w:t>
      </w:r>
      <w:r>
        <w:rPr>
          <w:rFonts w:ascii="Times New Roman" w:hAnsi="Times New Roman" w:cs="Times New Roman"/>
          <w:sz w:val="24"/>
        </w:rPr>
        <w:t>年底成立起草小组并进行充分调研</w:t>
      </w:r>
      <w:r>
        <w:rPr>
          <w:rFonts w:hint="eastAsia" w:ascii="Times New Roman" w:hAnsi="Times New Roman" w:cs="Times New Roman"/>
          <w:sz w:val="24"/>
        </w:rPr>
        <w:t>，</w:t>
      </w:r>
      <w:r>
        <w:rPr>
          <w:rFonts w:ascii="Times New Roman" w:hAnsi="Times New Roman" w:cs="Times New Roman"/>
          <w:sz w:val="24"/>
        </w:rPr>
        <w:t>就规范包含的内容、主要技术指标等问题进行了讨论，确定了规范起草的主导思想和原则。</w:t>
      </w:r>
    </w:p>
    <w:p w14:paraId="232BE907">
      <w:pPr>
        <w:spacing w:line="360" w:lineRule="auto"/>
        <w:ind w:firstLine="480" w:firstLineChars="200"/>
        <w:rPr>
          <w:rFonts w:ascii="Times New Roman" w:hAnsi="Times New Roman" w:cs="Times New Roman"/>
          <w:sz w:val="24"/>
        </w:rPr>
      </w:pPr>
      <w:r>
        <w:rPr>
          <w:rFonts w:ascii="Times New Roman" w:hAnsi="Times New Roman" w:cs="Times New Roman"/>
          <w:sz w:val="24"/>
        </w:rPr>
        <w:t>2、20</w:t>
      </w:r>
      <w:r>
        <w:rPr>
          <w:rFonts w:hint="eastAsia" w:ascii="Times New Roman" w:hAnsi="Times New Roman" w:cs="Times New Roman"/>
          <w:sz w:val="24"/>
        </w:rPr>
        <w:t>2</w:t>
      </w:r>
      <w:r>
        <w:rPr>
          <w:rFonts w:hint="eastAsia" w:ascii="Times New Roman" w:hAnsi="Times New Roman" w:cs="Times New Roman"/>
          <w:sz w:val="24"/>
          <w:lang w:val="en-US" w:eastAsia="zh-CN"/>
        </w:rPr>
        <w:t>3年</w:t>
      </w:r>
      <w:r>
        <w:rPr>
          <w:rFonts w:ascii="Times New Roman" w:hAnsi="Times New Roman" w:cs="Times New Roman"/>
          <w:sz w:val="24"/>
        </w:rPr>
        <w:t>开始由规范起草小组</w:t>
      </w:r>
      <w:r>
        <w:rPr>
          <w:rFonts w:hint="eastAsia" w:ascii="Times New Roman" w:hAnsi="Times New Roman" w:cs="Times New Roman"/>
          <w:sz w:val="24"/>
          <w:lang w:val="en-US" w:eastAsia="zh-CN"/>
        </w:rPr>
        <w:t>组织了若干次研讨会，明确技术路线，做好实验分工与技术验证相关工作</w:t>
      </w:r>
      <w:r>
        <w:rPr>
          <w:rFonts w:ascii="Times New Roman" w:hAnsi="Times New Roman" w:cs="Times New Roman"/>
          <w:sz w:val="24"/>
        </w:rPr>
        <w:t>，进行试验数据积累。</w:t>
      </w:r>
    </w:p>
    <w:p w14:paraId="206A0750">
      <w:pPr>
        <w:spacing w:line="360" w:lineRule="auto"/>
        <w:ind w:firstLine="480" w:firstLineChars="200"/>
        <w:rPr>
          <w:rFonts w:ascii="Times New Roman" w:hAnsi="Times New Roman" w:cs="Times New Roman"/>
          <w:sz w:val="24"/>
        </w:rPr>
      </w:pPr>
      <w:r>
        <w:rPr>
          <w:rFonts w:ascii="Times New Roman" w:hAnsi="Times New Roman" w:cs="Times New Roman"/>
          <w:sz w:val="24"/>
        </w:rPr>
        <w:t>3、20</w:t>
      </w:r>
      <w:r>
        <w:rPr>
          <w:rFonts w:hint="eastAsia" w:ascii="Times New Roman" w:hAnsi="Times New Roman" w:cs="Times New Roman"/>
          <w:sz w:val="24"/>
        </w:rPr>
        <w:t>2</w:t>
      </w:r>
      <w:r>
        <w:rPr>
          <w:rFonts w:hint="eastAsia" w:ascii="Times New Roman" w:hAnsi="Times New Roman" w:cs="Times New Roman"/>
          <w:sz w:val="24"/>
          <w:lang w:val="en-US" w:eastAsia="zh-CN"/>
        </w:rPr>
        <w:t>4</w:t>
      </w:r>
      <w:r>
        <w:rPr>
          <w:rFonts w:ascii="Times New Roman" w:hAnsi="Times New Roman" w:cs="Times New Roman"/>
          <w:sz w:val="24"/>
        </w:rPr>
        <w:t>年</w:t>
      </w:r>
      <w:r>
        <w:rPr>
          <w:rFonts w:hint="eastAsia" w:ascii="Times New Roman" w:hAnsi="Times New Roman" w:cs="Times New Roman"/>
          <w:sz w:val="24"/>
          <w:lang w:val="en-US" w:eastAsia="zh-CN"/>
        </w:rPr>
        <w:t>初</w:t>
      </w:r>
      <w:r>
        <w:rPr>
          <w:rFonts w:ascii="Times New Roman" w:hAnsi="Times New Roman" w:cs="Times New Roman"/>
          <w:sz w:val="24"/>
        </w:rPr>
        <w:t>由起草小组与生产企业进行专题讨论</w:t>
      </w:r>
      <w:r>
        <w:rPr>
          <w:rFonts w:hint="eastAsia" w:ascii="Times New Roman" w:hAnsi="Times New Roman" w:cs="Times New Roman"/>
          <w:sz w:val="24"/>
        </w:rPr>
        <w:t>，</w:t>
      </w:r>
      <w:r>
        <w:rPr>
          <w:rFonts w:ascii="Times New Roman" w:hAnsi="Times New Roman" w:cs="Times New Roman"/>
          <w:sz w:val="24"/>
        </w:rPr>
        <w:t>在此基础上形成《</w:t>
      </w:r>
      <w:r>
        <w:rPr>
          <w:rFonts w:hint="eastAsia" w:ascii="Times New Roman" w:hAnsi="Times New Roman" w:cs="Times New Roman"/>
          <w:sz w:val="24"/>
        </w:rPr>
        <w:t>高频往复式</w:t>
      </w:r>
      <w:r>
        <w:rPr>
          <w:rFonts w:ascii="Times New Roman" w:hAnsi="Times New Roman" w:cs="Times New Roman"/>
          <w:sz w:val="24"/>
        </w:rPr>
        <w:t>摩擦磨损试验机校准规范</w:t>
      </w:r>
      <w:r>
        <w:rPr>
          <w:rFonts w:hint="eastAsia" w:ascii="Times New Roman" w:hAnsi="Times New Roman" w:cs="Times New Roman"/>
          <w:sz w:val="24"/>
        </w:rPr>
        <w:t>（初</w:t>
      </w:r>
      <w:r>
        <w:rPr>
          <w:rFonts w:ascii="Times New Roman" w:hAnsi="Times New Roman" w:cs="Times New Roman"/>
          <w:sz w:val="24"/>
        </w:rPr>
        <w:t>稿</w:t>
      </w:r>
      <w:r>
        <w:rPr>
          <w:rFonts w:hint="eastAsia" w:ascii="Times New Roman" w:hAnsi="Times New Roman" w:cs="Times New Roman"/>
          <w:sz w:val="24"/>
        </w:rPr>
        <w:t>）</w:t>
      </w:r>
      <w:r>
        <w:rPr>
          <w:rFonts w:ascii="Times New Roman" w:hAnsi="Times New Roman" w:cs="Times New Roman"/>
          <w:sz w:val="24"/>
        </w:rPr>
        <w:t>》</w:t>
      </w:r>
      <w:r>
        <w:rPr>
          <w:rFonts w:hint="eastAsia" w:ascii="Times New Roman" w:hAnsi="Times New Roman" w:cs="Times New Roman"/>
          <w:sz w:val="24"/>
        </w:rPr>
        <w:t>，</w:t>
      </w:r>
      <w:r>
        <w:rPr>
          <w:rFonts w:ascii="Times New Roman" w:hAnsi="Times New Roman" w:cs="Times New Roman"/>
          <w:sz w:val="24"/>
        </w:rPr>
        <w:t>并多次进行试验验证</w:t>
      </w:r>
      <w:r>
        <w:rPr>
          <w:rFonts w:hint="eastAsia" w:ascii="Times New Roman" w:hAnsi="Times New Roman" w:cs="Times New Roman"/>
          <w:sz w:val="24"/>
        </w:rPr>
        <w:t>。</w:t>
      </w:r>
    </w:p>
    <w:p w14:paraId="7AEE3A2B">
      <w:pPr>
        <w:spacing w:line="360" w:lineRule="auto"/>
        <w:ind w:firstLine="480" w:firstLineChars="200"/>
        <w:rPr>
          <w:rFonts w:ascii="Times New Roman" w:hAnsi="Times New Roman" w:cs="Times New Roman"/>
          <w:sz w:val="24"/>
        </w:rPr>
      </w:pPr>
      <w:r>
        <w:rPr>
          <w:rFonts w:ascii="Times New Roman" w:hAnsi="Times New Roman" w:cs="Times New Roman"/>
          <w:sz w:val="24"/>
        </w:rPr>
        <w:t>4、20</w:t>
      </w:r>
      <w:r>
        <w:rPr>
          <w:rFonts w:hint="eastAsia" w:ascii="Times New Roman" w:hAnsi="Times New Roman" w:cs="Times New Roman"/>
          <w:sz w:val="24"/>
        </w:rPr>
        <w:t>2</w:t>
      </w:r>
      <w:r>
        <w:rPr>
          <w:rFonts w:hint="eastAsia" w:ascii="Times New Roman" w:hAnsi="Times New Roman" w:cs="Times New Roman"/>
          <w:sz w:val="24"/>
          <w:lang w:val="en-US" w:eastAsia="zh-CN"/>
        </w:rPr>
        <w:t>4</w:t>
      </w:r>
      <w:r>
        <w:rPr>
          <w:rFonts w:ascii="Times New Roman" w:hAnsi="Times New Roman" w:cs="Times New Roman"/>
          <w:sz w:val="24"/>
        </w:rPr>
        <w:t>年</w:t>
      </w:r>
      <w:r>
        <w:rPr>
          <w:rFonts w:hint="eastAsia" w:ascii="Times New Roman" w:hAnsi="Times New Roman" w:cs="Times New Roman"/>
          <w:sz w:val="24"/>
          <w:lang w:val="en-US" w:eastAsia="zh-CN"/>
        </w:rPr>
        <w:t>底由起草小组内部讨论和完善。项目组内部进行讨论和完善，并与相关合作单位、试验单位进行校准规范的讨论和完善。</w:t>
      </w:r>
    </w:p>
    <w:p w14:paraId="32818050">
      <w:pPr>
        <w:spacing w:line="360" w:lineRule="auto"/>
        <w:ind w:firstLine="480" w:firstLineChars="200"/>
        <w:rPr>
          <w:rFonts w:ascii="Times New Roman" w:hAnsi="Times New Roman" w:cs="Times New Roman"/>
          <w:sz w:val="24"/>
        </w:rPr>
      </w:pPr>
      <w:r>
        <w:rPr>
          <w:rFonts w:ascii="Times New Roman" w:hAnsi="Times New Roman" w:cs="Times New Roman"/>
          <w:sz w:val="24"/>
        </w:rPr>
        <w:t>5、</w:t>
      </w:r>
      <w:r>
        <w:rPr>
          <w:rFonts w:hint="eastAsia" w:ascii="Times New Roman" w:hAnsi="Times New Roman" w:cs="Times New Roman"/>
          <w:sz w:val="24"/>
          <w:lang w:val="en-US" w:eastAsia="zh-CN"/>
        </w:rPr>
        <w:t>2025年初，</w:t>
      </w:r>
      <w:r>
        <w:rPr>
          <w:rFonts w:ascii="Times New Roman" w:hAnsi="Times New Roman" w:cs="Times New Roman"/>
          <w:sz w:val="24"/>
        </w:rPr>
        <w:t>规范起草小组</w:t>
      </w:r>
      <w:r>
        <w:rPr>
          <w:rFonts w:hint="eastAsia" w:ascii="Times New Roman" w:hAnsi="Times New Roman" w:cs="Times New Roman"/>
          <w:sz w:val="24"/>
          <w:lang w:val="en-US" w:eastAsia="zh-CN"/>
        </w:rPr>
        <w:t>定向征求意见，</w:t>
      </w:r>
      <w:r>
        <w:rPr>
          <w:rFonts w:ascii="Times New Roman" w:hAnsi="Times New Roman" w:cs="Times New Roman"/>
          <w:sz w:val="24"/>
        </w:rPr>
        <w:t>形成《</w:t>
      </w:r>
      <w:r>
        <w:rPr>
          <w:rFonts w:hint="eastAsia" w:ascii="Times New Roman" w:hAnsi="Times New Roman" w:cs="Times New Roman"/>
          <w:sz w:val="24"/>
        </w:rPr>
        <w:t>高频往复式</w:t>
      </w:r>
      <w:r>
        <w:rPr>
          <w:rFonts w:ascii="Times New Roman" w:hAnsi="Times New Roman" w:cs="Times New Roman"/>
          <w:sz w:val="24"/>
        </w:rPr>
        <w:t>摩擦磨损试验机校准规范</w:t>
      </w:r>
      <w:r>
        <w:rPr>
          <w:rFonts w:hint="eastAsia" w:ascii="Times New Roman" w:hAnsi="Times New Roman" w:cs="Times New Roman"/>
          <w:sz w:val="24"/>
        </w:rPr>
        <w:t>（</w:t>
      </w:r>
      <w:r>
        <w:rPr>
          <w:rFonts w:ascii="Times New Roman" w:hAnsi="Times New Roman" w:cs="Times New Roman"/>
          <w:sz w:val="24"/>
        </w:rPr>
        <w:t>征求意见稿</w:t>
      </w:r>
      <w:r>
        <w:rPr>
          <w:rFonts w:hint="eastAsia" w:ascii="Times New Roman" w:hAnsi="Times New Roman" w:cs="Times New Roman"/>
          <w:sz w:val="24"/>
        </w:rPr>
        <w:t>）</w:t>
      </w:r>
      <w:r>
        <w:rPr>
          <w:rFonts w:ascii="Times New Roman" w:hAnsi="Times New Roman" w:cs="Times New Roman"/>
          <w:sz w:val="24"/>
        </w:rPr>
        <w:t>》。</w:t>
      </w:r>
    </w:p>
    <w:p w14:paraId="105D0672">
      <w:pPr>
        <w:rPr>
          <w:rFonts w:ascii="黑体" w:hAnsi="黑体" w:eastAsia="黑体"/>
          <w:sz w:val="28"/>
          <w:szCs w:val="28"/>
        </w:rPr>
      </w:pPr>
      <w:r>
        <w:rPr>
          <w:rFonts w:hint="eastAsia" w:ascii="黑体" w:hAnsi="黑体" w:eastAsia="黑体"/>
          <w:sz w:val="28"/>
          <w:szCs w:val="28"/>
        </w:rPr>
        <w:t>4  制定规范主要参考的文件和依据</w:t>
      </w:r>
    </w:p>
    <w:p w14:paraId="799EEFE4">
      <w:pPr>
        <w:spacing w:line="360" w:lineRule="auto"/>
        <w:ind w:firstLine="480" w:firstLineChars="200"/>
        <w:rPr>
          <w:rFonts w:hint="eastAsia" w:ascii="Times New Roman" w:hAnsi="Times New Roman" w:cs="Times New Roman"/>
          <w:sz w:val="24"/>
        </w:rPr>
      </w:pPr>
      <w:r>
        <w:rPr>
          <w:rFonts w:hint="eastAsia" w:ascii="Times New Roman" w:hAnsi="Times New Roman" w:cs="Times New Roman"/>
          <w:sz w:val="24"/>
        </w:rPr>
        <w:t>本规范主要依据JJF1071</w:t>
      </w:r>
      <w:r>
        <w:rPr>
          <w:rFonts w:hint="eastAsia" w:ascii="Times New Roman" w:hAnsi="Times New Roman" w:cs="Times New Roman"/>
          <w:sz w:val="24"/>
          <w:lang w:val="en-US" w:eastAsia="zh-CN"/>
        </w:rPr>
        <w:t>-</w:t>
      </w:r>
      <w:r>
        <w:rPr>
          <w:rFonts w:hint="eastAsia" w:ascii="Times New Roman" w:hAnsi="Times New Roman" w:cs="Times New Roman"/>
          <w:sz w:val="24"/>
        </w:rPr>
        <w:t>2010《国家计量校准规范编写规则》进行编制，JJF1001</w:t>
      </w:r>
      <w:r>
        <w:rPr>
          <w:rFonts w:hint="eastAsia" w:ascii="Times New Roman" w:hAnsi="Times New Roman" w:cs="Times New Roman"/>
          <w:sz w:val="24"/>
          <w:lang w:val="en-US" w:eastAsia="zh-CN"/>
        </w:rPr>
        <w:t>-</w:t>
      </w:r>
      <w:r>
        <w:rPr>
          <w:rFonts w:hint="eastAsia" w:ascii="Times New Roman" w:hAnsi="Times New Roman" w:cs="Times New Roman"/>
          <w:sz w:val="24"/>
        </w:rPr>
        <w:t>2011《通用计量术语及定义》、JJF1059.1—2012《测量不确定度评定与表示》、JJF 1094—2002《测量仪器特性评定》共同构成支撑校准规范制定工作的基础性系列规范。</w:t>
      </w:r>
    </w:p>
    <w:p w14:paraId="32420EE9">
      <w:pPr>
        <w:spacing w:line="360" w:lineRule="auto"/>
        <w:ind w:firstLine="480" w:firstLineChars="200"/>
        <w:rPr>
          <w:rFonts w:hint="eastAsia" w:ascii="Times New Roman" w:hAnsi="Times New Roman" w:cs="Times New Roman"/>
          <w:sz w:val="24"/>
        </w:rPr>
      </w:pPr>
      <w:r>
        <w:rPr>
          <w:rFonts w:hint="eastAsia" w:ascii="Times New Roman" w:hAnsi="Times New Roman" w:cs="Times New Roman"/>
          <w:sz w:val="24"/>
        </w:rPr>
        <w:t>本规范为首次制定，主要技术内容和计量特性参考了</w:t>
      </w:r>
      <w:r>
        <w:rPr>
          <w:rFonts w:hint="default" w:ascii="Times New Roman" w:hAnsi="Times New Roman" w:eastAsia="宋体" w:cs="Times New Roman"/>
          <w:sz w:val="24"/>
          <w:szCs w:val="24"/>
          <w:lang w:val="en-US" w:eastAsia="zh-CN"/>
        </w:rPr>
        <w:t>JJG 144-2007</w:t>
      </w:r>
      <w:r>
        <w:rPr>
          <w:rFonts w:hint="eastAsia" w:ascii="Times New Roman" w:hAnsi="Times New Roman" w:cs="Times New Roman"/>
          <w:sz w:val="24"/>
        </w:rPr>
        <w:t>《</w:t>
      </w:r>
      <w:r>
        <w:rPr>
          <w:rFonts w:hint="default" w:ascii="Times New Roman" w:hAnsi="Times New Roman" w:eastAsia="宋体" w:cs="Times New Roman"/>
          <w:sz w:val="24"/>
          <w:szCs w:val="24"/>
          <w:lang w:val="en-US" w:eastAsia="zh-CN"/>
        </w:rPr>
        <w:t>标准测力仪</w:t>
      </w:r>
      <w:r>
        <w:rPr>
          <w:rFonts w:hint="eastAsia" w:ascii="Times New Roman" w:hAnsi="Times New Roman" w:cs="Times New Roman"/>
          <w:sz w:val="24"/>
        </w:rPr>
        <w:t>》</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JJG 676-2019</w:t>
      </w:r>
      <w:r>
        <w:rPr>
          <w:rFonts w:hint="eastAsia" w:ascii="Times New Roman" w:hAnsi="Times New Roman" w:cs="Times New Roman"/>
          <w:sz w:val="24"/>
        </w:rPr>
        <w:t>《</w:t>
      </w:r>
      <w:r>
        <w:rPr>
          <w:rFonts w:hint="default" w:ascii="Times New Roman" w:hAnsi="Times New Roman" w:eastAsia="宋体" w:cs="Times New Roman"/>
          <w:sz w:val="24"/>
          <w:szCs w:val="24"/>
          <w:lang w:val="en-US" w:eastAsia="zh-CN"/>
        </w:rPr>
        <w:t>测振仪</w:t>
      </w:r>
      <w:r>
        <w:rPr>
          <w:rFonts w:hint="eastAsia" w:ascii="Times New Roman" w:hAnsi="Times New Roman" w:cs="Times New Roman"/>
          <w:sz w:val="24"/>
        </w:rPr>
        <w:t>》</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JJF 1366-2012</w:t>
      </w:r>
      <w:r>
        <w:rPr>
          <w:rFonts w:hint="eastAsia" w:ascii="Times New Roman" w:hAnsi="Times New Roman" w:cs="Times New Roman"/>
          <w:sz w:val="24"/>
        </w:rPr>
        <w:t>《</w:t>
      </w:r>
      <w:r>
        <w:rPr>
          <w:rFonts w:hint="default" w:ascii="Times New Roman" w:hAnsi="Times New Roman" w:eastAsia="宋体" w:cs="Times New Roman"/>
          <w:sz w:val="24"/>
          <w:szCs w:val="24"/>
          <w:lang w:val="en-US" w:eastAsia="zh-CN"/>
        </w:rPr>
        <w:t>温度数据采集仪校准规范</w:t>
      </w:r>
      <w:r>
        <w:rPr>
          <w:rFonts w:hint="eastAsia" w:ascii="Times New Roman" w:hAnsi="Times New Roman" w:cs="Times New Roman"/>
          <w:sz w:val="24"/>
        </w:rPr>
        <w:t>》</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GB/T 17754-2012</w:t>
      </w:r>
      <w:r>
        <w:rPr>
          <w:rFonts w:hint="eastAsia" w:ascii="Times New Roman" w:hAnsi="Times New Roman" w:cs="Times New Roman"/>
          <w:sz w:val="24"/>
        </w:rPr>
        <w:t>《</w:t>
      </w:r>
      <w:r>
        <w:rPr>
          <w:rFonts w:hint="default" w:ascii="Times New Roman" w:hAnsi="Times New Roman" w:eastAsia="宋体" w:cs="Times New Roman"/>
          <w:sz w:val="24"/>
          <w:szCs w:val="24"/>
          <w:lang w:val="en-US" w:eastAsia="zh-CN"/>
        </w:rPr>
        <w:t>摩擦学术语</w:t>
      </w:r>
      <w:r>
        <w:rPr>
          <w:rFonts w:hint="eastAsia" w:ascii="Times New Roman" w:hAnsi="Times New Roman" w:cs="Times New Roman"/>
          <w:sz w:val="24"/>
        </w:rPr>
        <w:t>》</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NB/SH/</w:t>
      </w:r>
      <w:r>
        <w:rPr>
          <w:rFonts w:hint="eastAsia" w:ascii="Times New Roman" w:hAnsi="Times New Roman" w:cs="Times New Roman"/>
          <w:sz w:val="24"/>
          <w:szCs w:val="24"/>
          <w:lang w:val="en-US" w:eastAsia="zh-CN"/>
        </w:rPr>
        <w:t>T</w:t>
      </w:r>
      <w:r>
        <w:rPr>
          <w:rFonts w:hint="default" w:ascii="Times New Roman" w:hAnsi="Times New Roman" w:eastAsia="宋体" w:cs="Times New Roman"/>
          <w:sz w:val="24"/>
          <w:szCs w:val="24"/>
          <w:lang w:val="en-US" w:eastAsia="zh-CN"/>
        </w:rPr>
        <w:t xml:space="preserve"> 0847-2010</w:t>
      </w:r>
      <w:r>
        <w:rPr>
          <w:rFonts w:hint="eastAsia" w:ascii="Times New Roman" w:hAnsi="Times New Roman" w:cs="Times New Roman"/>
          <w:sz w:val="24"/>
        </w:rPr>
        <w:t>《</w:t>
      </w:r>
      <w:r>
        <w:rPr>
          <w:rFonts w:hint="default" w:ascii="Times New Roman" w:hAnsi="Times New Roman" w:eastAsia="宋体" w:cs="Times New Roman"/>
          <w:sz w:val="24"/>
          <w:szCs w:val="24"/>
          <w:lang w:val="en-US" w:eastAsia="zh-CN"/>
        </w:rPr>
        <w:t>极压润滑油摩擦磨损性能的测定SRV试验机法</w:t>
      </w:r>
      <w:r>
        <w:rPr>
          <w:rFonts w:hint="eastAsia" w:ascii="Times New Roman" w:hAnsi="Times New Roman" w:cs="Times New Roman"/>
          <w:sz w:val="24"/>
        </w:rPr>
        <w:t>》</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highlight w:val="none"/>
          <w:lang w:val="en-US" w:eastAsia="zh-CN"/>
        </w:rPr>
        <w:t>NB/SH/T 0721-2016</w:t>
      </w:r>
      <w:r>
        <w:rPr>
          <w:rFonts w:hint="eastAsia" w:ascii="Times New Roman" w:hAnsi="Times New Roman" w:cs="Times New Roman"/>
          <w:sz w:val="24"/>
        </w:rPr>
        <w:t>《</w:t>
      </w:r>
      <w:r>
        <w:rPr>
          <w:rFonts w:hint="default" w:ascii="Times New Roman" w:hAnsi="Times New Roman" w:cs="Times New Roman"/>
          <w:sz w:val="24"/>
          <w:szCs w:val="24"/>
          <w:highlight w:val="none"/>
          <w:lang w:val="en-US" w:eastAsia="zh-CN"/>
        </w:rPr>
        <w:t>润滑脂摩擦磨损性能的测定高频线性振动试验机(SRV)法</w:t>
      </w:r>
      <w:r>
        <w:rPr>
          <w:rFonts w:hint="eastAsia" w:ascii="Times New Roman" w:hAnsi="Times New Roman" w:cs="Times New Roman"/>
          <w:sz w:val="24"/>
        </w:rPr>
        <w:t>》的部分内容。</w:t>
      </w:r>
    </w:p>
    <w:p w14:paraId="6ADAB23B">
      <w:pPr>
        <w:rPr>
          <w:rFonts w:ascii="黑体" w:hAnsi="黑体" w:eastAsia="黑体"/>
          <w:sz w:val="28"/>
          <w:szCs w:val="28"/>
        </w:rPr>
      </w:pPr>
      <w:r>
        <w:rPr>
          <w:rFonts w:hint="eastAsia" w:ascii="黑体" w:hAnsi="黑体" w:eastAsia="黑体"/>
          <w:sz w:val="28"/>
          <w:szCs w:val="28"/>
          <w:lang w:val="en-US" w:eastAsia="zh-CN"/>
        </w:rPr>
        <w:t xml:space="preserve">5  </w:t>
      </w:r>
      <w:r>
        <w:rPr>
          <w:rFonts w:hint="eastAsia" w:ascii="黑体" w:hAnsi="黑体" w:eastAsia="黑体"/>
          <w:sz w:val="28"/>
          <w:szCs w:val="28"/>
        </w:rPr>
        <w:t>规范的主要内容及主要技术关键</w:t>
      </w:r>
    </w:p>
    <w:p w14:paraId="36374D2A">
      <w:pPr>
        <w:spacing w:line="360" w:lineRule="auto"/>
        <w:ind w:firstLine="482" w:firstLineChars="200"/>
        <w:rPr>
          <w:b/>
          <w:bCs/>
          <w:sz w:val="24"/>
        </w:rPr>
      </w:pPr>
      <w:r>
        <w:rPr>
          <w:b/>
          <w:bCs/>
          <w:sz w:val="24"/>
        </w:rPr>
        <w:t>规范的主要内容：</w:t>
      </w:r>
    </w:p>
    <w:p w14:paraId="4EAFC544">
      <w:pPr>
        <w:widowControl/>
        <w:numPr>
          <w:ilvl w:val="0"/>
          <w:numId w:val="2"/>
        </w:numPr>
        <w:spacing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按照JJF</w:t>
      </w:r>
      <w:r>
        <w:rPr>
          <w:rFonts w:hint="default" w:ascii="Times New Roman" w:hAnsi="Times New Roman" w:eastAsia="宋体" w:cs="Times New Roman"/>
          <w:color w:val="000000"/>
          <w:sz w:val="24"/>
        </w:rPr>
        <w:t xml:space="preserve"> 1071</w:t>
      </w:r>
      <w:r>
        <w:rPr>
          <w:rFonts w:hint="eastAsia" w:ascii="Times New Roman" w:hAnsi="Times New Roman" w:cs="Times New Roman"/>
          <w:color w:val="000000"/>
          <w:sz w:val="24"/>
          <w:lang w:val="en-US" w:eastAsia="zh-CN"/>
        </w:rPr>
        <w:t>-</w:t>
      </w:r>
      <w:r>
        <w:rPr>
          <w:rFonts w:hint="default" w:ascii="Times New Roman" w:hAnsi="Times New Roman" w:eastAsia="宋体" w:cs="Times New Roman"/>
          <w:color w:val="000000"/>
          <w:sz w:val="24"/>
        </w:rPr>
        <w:t>2010</w:t>
      </w:r>
      <w:r>
        <w:rPr>
          <w:rFonts w:hint="default" w:ascii="Times New Roman" w:hAnsi="Times New Roman" w:eastAsia="宋体" w:cs="Times New Roman"/>
          <w:sz w:val="24"/>
        </w:rPr>
        <w:t>《</w:t>
      </w:r>
      <w:r>
        <w:rPr>
          <w:rFonts w:hint="default" w:ascii="Times New Roman" w:hAnsi="Times New Roman" w:eastAsia="宋体" w:cs="Times New Roman"/>
          <w:color w:val="000000"/>
          <w:sz w:val="24"/>
        </w:rPr>
        <w:t>国家计</w:t>
      </w:r>
      <w:r>
        <w:rPr>
          <w:rFonts w:hint="default" w:ascii="Times New Roman" w:hAnsi="Times New Roman" w:eastAsia="宋体" w:cs="Times New Roman"/>
          <w:sz w:val="24"/>
        </w:rPr>
        <w:t>量校准规范编写规则》的要求制定高频往复式摩擦磨损试验机</w:t>
      </w:r>
      <w:r>
        <w:rPr>
          <w:rFonts w:hint="default" w:ascii="Times New Roman" w:hAnsi="Times New Roman" w:eastAsia="宋体" w:cs="Times New Roman"/>
          <w:sz w:val="24"/>
          <w:lang w:eastAsia="zh-CN"/>
        </w:rPr>
        <w:t>校准规范</w:t>
      </w:r>
      <w:r>
        <w:rPr>
          <w:rFonts w:hint="default" w:ascii="Times New Roman" w:hAnsi="Times New Roman" w:eastAsia="宋体" w:cs="Times New Roman"/>
          <w:sz w:val="24"/>
        </w:rPr>
        <w:t>，在内容和格式上与JJF</w:t>
      </w:r>
      <w:r>
        <w:rPr>
          <w:rFonts w:hint="default" w:ascii="Times New Roman" w:hAnsi="Times New Roman" w:eastAsia="宋体" w:cs="Times New Roman"/>
          <w:color w:val="000000"/>
          <w:sz w:val="24"/>
        </w:rPr>
        <w:t xml:space="preserve"> 1071</w:t>
      </w:r>
      <w:r>
        <w:rPr>
          <w:rFonts w:hint="eastAsia" w:ascii="Times New Roman" w:hAnsi="Times New Roman" w:cs="Times New Roman"/>
          <w:color w:val="000000"/>
          <w:sz w:val="24"/>
          <w:lang w:val="en-US" w:eastAsia="zh-CN"/>
        </w:rPr>
        <w:t>-</w:t>
      </w:r>
      <w:r>
        <w:rPr>
          <w:rFonts w:hint="default" w:ascii="Times New Roman" w:hAnsi="Times New Roman" w:eastAsia="宋体" w:cs="Times New Roman"/>
          <w:color w:val="000000"/>
          <w:sz w:val="24"/>
        </w:rPr>
        <w:t>2010</w:t>
      </w:r>
      <w:r>
        <w:rPr>
          <w:rFonts w:hint="default" w:ascii="Times New Roman" w:hAnsi="Times New Roman" w:eastAsia="宋体" w:cs="Times New Roman"/>
          <w:sz w:val="24"/>
        </w:rPr>
        <w:t>保持一致。校准规范的具体内容有范围、概述、计量特性、校准条件、校准项目和校准方法、校准结果的表达、复校时间间隔等。</w:t>
      </w:r>
    </w:p>
    <w:p w14:paraId="52630965">
      <w:pPr>
        <w:widowControl/>
        <w:numPr>
          <w:ilvl w:val="0"/>
          <w:numId w:val="2"/>
        </w:numPr>
        <w:spacing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color w:val="000000"/>
          <w:sz w:val="24"/>
        </w:rPr>
        <w:t>参考</w:t>
      </w:r>
      <w:r>
        <w:rPr>
          <w:rFonts w:hint="default" w:ascii="Times New Roman" w:hAnsi="Times New Roman" w:eastAsia="宋体" w:cs="Times New Roman"/>
          <w:sz w:val="24"/>
          <w:lang w:val="en-US" w:eastAsia="zh-CN"/>
        </w:rPr>
        <w:t>GB/T 17754-2012 《摩擦学术语》</w:t>
      </w:r>
      <w:r>
        <w:rPr>
          <w:rFonts w:hint="default" w:ascii="Times New Roman" w:hAnsi="Times New Roman" w:eastAsia="宋体" w:cs="Times New Roman"/>
          <w:color w:val="000000"/>
          <w:sz w:val="24"/>
        </w:rPr>
        <w:t>，并结合部分专家意见，最终确定</w:t>
      </w:r>
      <w:r>
        <w:rPr>
          <w:rFonts w:hint="default" w:ascii="Times New Roman" w:hAnsi="Times New Roman" w:eastAsia="宋体" w:cs="Times New Roman"/>
          <w:sz w:val="24"/>
        </w:rPr>
        <w:t>高频往复式摩擦磨损试验机</w:t>
      </w:r>
      <w:r>
        <w:rPr>
          <w:rFonts w:hint="default" w:ascii="Times New Roman" w:hAnsi="Times New Roman" w:eastAsia="宋体" w:cs="Times New Roman"/>
          <w:sz w:val="24"/>
          <w:szCs w:val="28"/>
          <w:lang w:val="en-US" w:eastAsia="zh-CN"/>
        </w:rPr>
        <w:t>5</w:t>
      </w:r>
      <w:r>
        <w:rPr>
          <w:rFonts w:hint="default" w:ascii="Times New Roman" w:hAnsi="Times New Roman" w:eastAsia="宋体" w:cs="Times New Roman"/>
          <w:color w:val="000000"/>
          <w:sz w:val="24"/>
        </w:rPr>
        <w:t>项计量特性，分别是</w:t>
      </w:r>
      <w:r>
        <w:rPr>
          <w:rFonts w:hint="default" w:ascii="Times New Roman" w:hAnsi="Times New Roman" w:eastAsia="宋体" w:cs="Times New Roman"/>
          <w:color w:val="000000"/>
          <w:sz w:val="24"/>
          <w:lang w:val="en-US" w:eastAsia="zh-CN"/>
        </w:rPr>
        <w:t>载荷、摩擦系数、往复频率、往复位移、</w:t>
      </w:r>
      <w:r>
        <w:rPr>
          <w:rFonts w:hint="eastAsia" w:ascii="Times New Roman" w:hAnsi="Times New Roman" w:cs="Times New Roman"/>
          <w:color w:val="000000"/>
          <w:sz w:val="24"/>
          <w:lang w:val="en-US" w:eastAsia="zh-CN"/>
        </w:rPr>
        <w:t>实验</w:t>
      </w:r>
      <w:r>
        <w:rPr>
          <w:rFonts w:hint="default" w:ascii="Times New Roman" w:hAnsi="Times New Roman" w:eastAsia="宋体" w:cs="Times New Roman"/>
          <w:color w:val="000000"/>
          <w:sz w:val="24"/>
          <w:lang w:val="en-US" w:eastAsia="zh-CN"/>
        </w:rPr>
        <w:t>温度</w:t>
      </w:r>
      <w:r>
        <w:rPr>
          <w:rFonts w:hint="default" w:ascii="Times New Roman" w:hAnsi="Times New Roman" w:eastAsia="宋体" w:cs="Times New Roman"/>
          <w:color w:val="000000"/>
          <w:sz w:val="24"/>
        </w:rPr>
        <w:t>。针对每一校准项目，规定了使用的标准器/标准物质，明确了相应的校准操作。</w:t>
      </w:r>
    </w:p>
    <w:p w14:paraId="6BDFC911">
      <w:pPr>
        <w:spacing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3、对规范中的技术指标和校准方法均进行了实验验证；依据JJF 1059.1</w:t>
      </w:r>
      <w:r>
        <w:rPr>
          <w:rFonts w:hint="eastAsia" w:ascii="Times New Roman" w:hAnsi="Times New Roman" w:cs="Times New Roman"/>
          <w:sz w:val="24"/>
          <w:lang w:val="en-US" w:eastAsia="zh-CN"/>
        </w:rPr>
        <w:t>-</w:t>
      </w:r>
      <w:r>
        <w:rPr>
          <w:rFonts w:hint="default" w:ascii="Times New Roman" w:hAnsi="Times New Roman" w:eastAsia="宋体" w:cs="Times New Roman"/>
          <w:sz w:val="24"/>
        </w:rPr>
        <w:t>2012《测量不确定度评定与表示》对仪器</w:t>
      </w:r>
      <w:r>
        <w:rPr>
          <w:rFonts w:hint="default" w:ascii="Times New Roman" w:hAnsi="Times New Roman" w:eastAsia="宋体" w:cs="Times New Roman"/>
          <w:color w:val="000000"/>
          <w:sz w:val="24"/>
        </w:rPr>
        <w:t>定量分析</w:t>
      </w:r>
      <w:r>
        <w:rPr>
          <w:rFonts w:hint="default" w:ascii="Times New Roman" w:hAnsi="Times New Roman" w:eastAsia="宋体" w:cs="Times New Roman"/>
          <w:sz w:val="24"/>
        </w:rPr>
        <w:t>示值误差测量结果的不确定度进行分析，进一步验证了所采用的测量方法合理、可行。</w:t>
      </w:r>
    </w:p>
    <w:p w14:paraId="46D23ED6">
      <w:pPr>
        <w:spacing w:line="360" w:lineRule="auto"/>
        <w:ind w:firstLine="602" w:firstLineChars="250"/>
        <w:rPr>
          <w:b/>
          <w:bCs/>
          <w:sz w:val="24"/>
        </w:rPr>
      </w:pPr>
      <w:r>
        <w:rPr>
          <w:b/>
          <w:bCs/>
          <w:sz w:val="24"/>
        </w:rPr>
        <w:t>规范的主要技术关键：</w:t>
      </w:r>
    </w:p>
    <w:p w14:paraId="4CE74AEC">
      <w:pPr>
        <w:numPr>
          <w:ilvl w:val="0"/>
          <w:numId w:val="3"/>
        </w:numPr>
        <w:spacing w:line="360" w:lineRule="auto"/>
        <w:ind w:firstLine="482" w:firstLineChars="200"/>
        <w:rPr>
          <w:rFonts w:hint="default" w:ascii="Times New Roman" w:hAnsi="Times New Roman" w:eastAsia="宋体" w:cs="Times New Roman"/>
          <w:sz w:val="24"/>
          <w:szCs w:val="22"/>
        </w:rPr>
      </w:pPr>
      <w:r>
        <w:rPr>
          <w:rFonts w:hint="eastAsia" w:ascii="Times New Roman" w:hAnsi="Times New Roman" w:cs="Times New Roman"/>
          <w:b/>
          <w:bCs/>
          <w:sz w:val="24"/>
          <w:lang w:val="en-US" w:eastAsia="zh-CN"/>
        </w:rPr>
        <w:t>试验负荷</w:t>
      </w:r>
      <w:r>
        <w:rPr>
          <w:rFonts w:hint="default" w:ascii="Times New Roman" w:hAnsi="Times New Roman" w:eastAsia="宋体" w:cs="Times New Roman"/>
          <w:b/>
          <w:color w:val="000000"/>
          <w:sz w:val="24"/>
        </w:rPr>
        <w:t>示值误差</w:t>
      </w:r>
      <w:r>
        <w:rPr>
          <w:rFonts w:hint="default" w:ascii="Times New Roman" w:hAnsi="Times New Roman" w:eastAsia="宋体" w:cs="Times New Roman"/>
          <w:b/>
          <w:bCs/>
          <w:sz w:val="24"/>
          <w:lang w:val="en-US" w:eastAsia="zh-CN"/>
        </w:rPr>
        <w:t>：</w:t>
      </w:r>
      <w:r>
        <w:rPr>
          <w:rFonts w:hint="default" w:ascii="Times New Roman" w:hAnsi="Times New Roman" w:eastAsia="宋体" w:cs="Times New Roman"/>
          <w:sz w:val="24"/>
          <w:lang w:val="en-US" w:eastAsia="zh-CN"/>
        </w:rPr>
        <w:t>载荷测量校准时，因为试验机工字梁结构，采用测力仪校准时，需要保</w:t>
      </w:r>
      <w:r>
        <w:rPr>
          <w:rFonts w:hint="default" w:ascii="Times New Roman" w:hAnsi="Times New Roman" w:eastAsia="宋体" w:cs="Times New Roman"/>
          <w:color w:val="auto"/>
          <w:sz w:val="24"/>
          <w:lang w:val="en-US" w:eastAsia="zh-CN"/>
        </w:rPr>
        <w:t>证传感器安装后，接触测力时工字梁左右簧片水平。</w:t>
      </w:r>
      <w:r>
        <w:rPr>
          <w:rFonts w:hint="default" w:ascii="Times New Roman" w:hAnsi="Times New Roman" w:eastAsia="宋体" w:cs="Times New Roman"/>
          <w:color w:val="auto"/>
          <w:sz w:val="24"/>
          <w:szCs w:val="24"/>
          <w:lang w:val="en-US" w:eastAsia="zh-CN"/>
        </w:rPr>
        <w:t>根据行业标准，预加载时要求负荷为“50 N±1 N”，允许误差为±2%</w:t>
      </w:r>
      <w:r>
        <w:rPr>
          <w:rFonts w:hint="eastAsia" w:ascii="Times New Roman" w:hAnsi="Times New Roman" w:cs="Times New Roman"/>
          <w:color w:val="auto"/>
          <w:sz w:val="24"/>
          <w:szCs w:val="24"/>
          <w:lang w:val="en-US" w:eastAsia="zh-CN"/>
        </w:rPr>
        <w:t>；</w:t>
      </w:r>
      <w:r>
        <w:rPr>
          <w:rFonts w:hint="default" w:ascii="Times New Roman" w:hAnsi="Times New Roman" w:eastAsia="宋体" w:cs="Times New Roman"/>
          <w:color w:val="auto"/>
          <w:sz w:val="24"/>
          <w:szCs w:val="24"/>
          <w:lang w:val="en-US" w:eastAsia="zh-CN"/>
        </w:rPr>
        <w:t>根据设备验收文件，试验负荷测量准确性±1%；根据客户需求，试验负荷示值误差为±1%；根据实验报告，</w:t>
      </w:r>
      <w:r>
        <w:rPr>
          <w:rFonts w:hint="eastAsia" w:ascii="Times New Roman" w:hAnsi="Times New Roman" w:cs="Times New Roman"/>
          <w:color w:val="auto"/>
          <w:sz w:val="24"/>
          <w:szCs w:val="24"/>
          <w:lang w:val="en-US" w:eastAsia="zh-CN"/>
        </w:rPr>
        <w:t>5</w:t>
      </w:r>
      <w:r>
        <w:rPr>
          <w:rFonts w:hint="default" w:ascii="Times New Roman" w:hAnsi="Times New Roman" w:eastAsia="宋体" w:cs="Times New Roman"/>
          <w:color w:val="auto"/>
          <w:sz w:val="24"/>
          <w:szCs w:val="24"/>
          <w:lang w:val="en-US" w:eastAsia="zh-CN"/>
        </w:rPr>
        <w:t>家校准结果均能满足示值误差±1%；因此表1中试验负荷的技术要求规定示值误差±1%。</w:t>
      </w:r>
    </w:p>
    <w:p w14:paraId="2468BE17">
      <w:pPr>
        <w:numPr>
          <w:ilvl w:val="0"/>
          <w:numId w:val="3"/>
        </w:numPr>
        <w:spacing w:line="360" w:lineRule="auto"/>
        <w:ind w:firstLine="482" w:firstLineChars="200"/>
        <w:rPr>
          <w:rFonts w:hint="default" w:ascii="Times New Roman" w:hAnsi="Times New Roman" w:eastAsia="宋体" w:cs="Times New Roman"/>
          <w:sz w:val="24"/>
          <w:szCs w:val="22"/>
        </w:rPr>
      </w:pPr>
      <w:r>
        <w:rPr>
          <w:rFonts w:hint="eastAsia" w:ascii="Times New Roman" w:hAnsi="Times New Roman" w:cs="Times New Roman"/>
          <w:b/>
          <w:bCs/>
          <w:sz w:val="24"/>
          <w:lang w:val="en-US" w:eastAsia="zh-CN"/>
        </w:rPr>
        <w:t>试验冲程</w:t>
      </w:r>
      <w:r>
        <w:rPr>
          <w:rFonts w:hint="default" w:ascii="Times New Roman" w:hAnsi="Times New Roman" w:eastAsia="宋体" w:cs="Times New Roman"/>
          <w:b/>
          <w:color w:val="000000"/>
          <w:sz w:val="24"/>
        </w:rPr>
        <w:t>示值误差</w:t>
      </w:r>
      <w:r>
        <w:rPr>
          <w:rFonts w:hint="default" w:ascii="Times New Roman" w:hAnsi="Times New Roman" w:eastAsia="宋体" w:cs="Times New Roman"/>
          <w:b/>
          <w:sz w:val="24"/>
        </w:rPr>
        <w:t>：</w:t>
      </w:r>
      <w:r>
        <w:rPr>
          <w:rFonts w:hint="default" w:ascii="Times New Roman" w:hAnsi="Times New Roman" w:eastAsia="宋体" w:cs="Times New Roman"/>
          <w:sz w:val="24"/>
          <w:lang w:val="en-US" w:eastAsia="zh-CN"/>
        </w:rPr>
        <w:t>往复频率校准采用加速度计动态校准，因激振器控制运动时功率有限，行程与频率相互制约，应予以考虑。此外，滑动摩擦力对激振器控制运动有较大影响，校准推荐采用滚动摩擦，对运动行程影响小。根据行业标准，试验冲程为0.30 mm，1.00 mm，2.00 mm，无允差要求；根据设备验收文件，试验冲程测量准确性1.0 mm，测量值1.0 mm，最小分辨力0.05 mm，允许误差±1%；根据客户要求，试验冲程示值误差为±3%；根据实验报告，</w:t>
      </w:r>
      <w:r>
        <w:rPr>
          <w:rFonts w:hint="eastAsia" w:ascii="Times New Roman" w:hAnsi="Times New Roman" w:cs="Times New Roman"/>
          <w:sz w:val="24"/>
          <w:lang w:val="en-US" w:eastAsia="zh-CN"/>
        </w:rPr>
        <w:t>5</w:t>
      </w:r>
      <w:r>
        <w:rPr>
          <w:rFonts w:hint="default" w:ascii="Times New Roman" w:hAnsi="Times New Roman" w:eastAsia="宋体" w:cs="Times New Roman"/>
          <w:sz w:val="24"/>
          <w:lang w:val="en-US" w:eastAsia="zh-CN"/>
        </w:rPr>
        <w:t>家中3家校准结果均能满足示值误差±3%；因此表1中试验冲程的技术要求规定示值误差±3%。</w:t>
      </w:r>
    </w:p>
    <w:p w14:paraId="210B7084">
      <w:pPr>
        <w:numPr>
          <w:ilvl w:val="0"/>
          <w:numId w:val="3"/>
        </w:numPr>
        <w:spacing w:line="360" w:lineRule="auto"/>
        <w:ind w:firstLine="482" w:firstLineChars="200"/>
        <w:rPr>
          <w:rFonts w:hint="default" w:ascii="Times New Roman" w:hAnsi="Times New Roman" w:eastAsia="宋体" w:cs="Times New Roman"/>
          <w:sz w:val="24"/>
          <w:szCs w:val="22"/>
        </w:rPr>
      </w:pPr>
      <w:r>
        <w:rPr>
          <w:rFonts w:hint="eastAsia" w:ascii="Times New Roman" w:hAnsi="Times New Roman" w:cs="Times New Roman"/>
          <w:b/>
          <w:sz w:val="24"/>
          <w:lang w:val="en-US" w:eastAsia="zh-CN"/>
        </w:rPr>
        <w:t>试验频率</w:t>
      </w:r>
      <w:r>
        <w:rPr>
          <w:rFonts w:hint="default" w:ascii="Times New Roman" w:hAnsi="Times New Roman" w:eastAsia="宋体" w:cs="Times New Roman"/>
          <w:b/>
          <w:sz w:val="24"/>
          <w:lang w:val="en-US" w:eastAsia="zh-CN"/>
        </w:rPr>
        <w:t>示值误差</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往复频率校准采用测振仪校准，因激振器控制运动时功率有限，行程与频率相互制约，应予以考虑。根据行业标准，试验频率为50 Hz，无允差要求；根据设备验收文件，试验频率允许误差±2%；根据客户要求，试验频率示值误差为±1%</w:t>
      </w:r>
      <w:r>
        <w:rPr>
          <w:rFonts w:hint="eastAsia" w:ascii="Times New Roman" w:hAnsi="Times New Roman" w:cs="Times New Roman"/>
          <w:sz w:val="24"/>
          <w:lang w:val="en-US" w:eastAsia="zh-CN"/>
        </w:rPr>
        <w:t>；</w:t>
      </w:r>
      <w:r>
        <w:rPr>
          <w:rFonts w:hint="default" w:ascii="Times New Roman" w:hAnsi="Times New Roman" w:eastAsia="宋体" w:cs="Times New Roman"/>
          <w:sz w:val="24"/>
          <w:lang w:val="en-US" w:eastAsia="zh-CN"/>
        </w:rPr>
        <w:t>根据实验报告，</w:t>
      </w:r>
      <w:r>
        <w:rPr>
          <w:rFonts w:hint="eastAsia" w:ascii="Times New Roman" w:hAnsi="Times New Roman" w:cs="Times New Roman"/>
          <w:sz w:val="24"/>
          <w:lang w:val="en-US" w:eastAsia="zh-CN"/>
        </w:rPr>
        <w:t>5</w:t>
      </w:r>
      <w:r>
        <w:rPr>
          <w:rFonts w:hint="default" w:ascii="Times New Roman" w:hAnsi="Times New Roman" w:eastAsia="宋体" w:cs="Times New Roman"/>
          <w:sz w:val="24"/>
          <w:lang w:val="en-US" w:eastAsia="zh-CN"/>
        </w:rPr>
        <w:t>家校准结果均能满足示值误差±1%；因此表1中试验频率的技术要求规定示值误差±1%。</w:t>
      </w:r>
    </w:p>
    <w:p w14:paraId="0989C6F3">
      <w:pPr>
        <w:numPr>
          <w:ilvl w:val="0"/>
          <w:numId w:val="3"/>
        </w:numPr>
        <w:spacing w:line="360" w:lineRule="auto"/>
        <w:ind w:firstLine="482" w:firstLineChars="200"/>
        <w:rPr>
          <w:rFonts w:hint="default" w:ascii="Times New Roman" w:hAnsi="Times New Roman" w:eastAsia="宋体" w:cs="Times New Roman"/>
          <w:sz w:val="24"/>
          <w:szCs w:val="22"/>
          <w:highlight w:val="none"/>
        </w:rPr>
      </w:pPr>
      <w:r>
        <w:rPr>
          <w:rFonts w:hint="eastAsia" w:ascii="Times New Roman" w:hAnsi="Times New Roman" w:cs="Times New Roman"/>
          <w:b/>
          <w:sz w:val="24"/>
          <w:highlight w:val="none"/>
          <w:lang w:val="en-US" w:eastAsia="zh-CN"/>
        </w:rPr>
        <w:t>试验</w:t>
      </w:r>
      <w:r>
        <w:rPr>
          <w:rFonts w:hint="default" w:ascii="Times New Roman" w:hAnsi="Times New Roman" w:eastAsia="宋体" w:cs="Times New Roman"/>
          <w:b/>
          <w:sz w:val="24"/>
          <w:highlight w:val="none"/>
          <w:lang w:val="en-US" w:eastAsia="zh-CN"/>
        </w:rPr>
        <w:t>温度示值误差</w:t>
      </w:r>
      <w:r>
        <w:rPr>
          <w:rFonts w:hint="default" w:ascii="Times New Roman" w:hAnsi="Times New Roman" w:eastAsia="宋体" w:cs="Times New Roman"/>
          <w:sz w:val="24"/>
          <w:highlight w:val="none"/>
        </w:rPr>
        <w:t>：</w:t>
      </w:r>
      <w:r>
        <w:rPr>
          <w:rFonts w:hint="default" w:ascii="Times New Roman" w:hAnsi="Times New Roman" w:eastAsia="宋体" w:cs="Times New Roman"/>
          <w:sz w:val="24"/>
          <w:highlight w:val="none"/>
          <w:lang w:val="en-US" w:eastAsia="zh-CN"/>
        </w:rPr>
        <w:t>仪器温度通过电阻丝加热至样品台，并通过温度传感器测量负反馈控制持续加热。故校准时需要先将温度升高到校准点，待温度稳定后，开始测量，计算示值误差。温度传感器与加热器工装在一起，不可拆卸单独校准，所以起草组在选定温度校准方法，选定校准温度对象为</w:t>
      </w:r>
      <w:r>
        <w:rPr>
          <w:rFonts w:hint="eastAsia" w:ascii="Times New Roman" w:hAnsi="Times New Roman" w:cs="Times New Roman"/>
          <w:sz w:val="24"/>
          <w:highlight w:val="none"/>
          <w:lang w:val="en-US" w:eastAsia="zh-CN"/>
        </w:rPr>
        <w:t>样品台表面与下摩擦副接触区温度。</w:t>
      </w:r>
      <w:r>
        <w:rPr>
          <w:rFonts w:hint="default" w:ascii="Times New Roman" w:hAnsi="Times New Roman" w:eastAsia="宋体" w:cs="Times New Roman"/>
          <w:sz w:val="24"/>
          <w:szCs w:val="22"/>
          <w:highlight w:val="none"/>
        </w:rPr>
        <w:t>根据行业标准，预加载时要求试验温度为“50 ℃±1 ℃”、“80 ℃±1 ℃”、“120 ℃±1 ℃”，允许误差为±1 ℃</w:t>
      </w:r>
      <w:r>
        <w:rPr>
          <w:rFonts w:hint="eastAsia" w:ascii="Times New Roman" w:hAnsi="Times New Roman" w:cs="Times New Roman"/>
          <w:sz w:val="24"/>
          <w:szCs w:val="22"/>
          <w:highlight w:val="none"/>
          <w:lang w:eastAsia="zh-CN"/>
        </w:rPr>
        <w:t>；</w:t>
      </w:r>
      <w:r>
        <w:rPr>
          <w:rFonts w:hint="default" w:ascii="Times New Roman" w:hAnsi="Times New Roman" w:eastAsia="宋体" w:cs="Times New Roman"/>
          <w:sz w:val="24"/>
          <w:szCs w:val="22"/>
          <w:highlight w:val="none"/>
        </w:rPr>
        <w:t>根据设备验收文件，试验温度允许误差±1%；根据实验报告，</w:t>
      </w:r>
      <w:r>
        <w:rPr>
          <w:rFonts w:hint="eastAsia" w:ascii="Times New Roman" w:hAnsi="Times New Roman" w:cs="Times New Roman"/>
          <w:sz w:val="24"/>
          <w:szCs w:val="22"/>
          <w:highlight w:val="none"/>
          <w:lang w:val="en-US" w:eastAsia="zh-CN"/>
        </w:rPr>
        <w:t>5家中4</w:t>
      </w:r>
      <w:r>
        <w:rPr>
          <w:rFonts w:hint="default" w:ascii="Times New Roman" w:hAnsi="Times New Roman" w:eastAsia="宋体" w:cs="Times New Roman"/>
          <w:sz w:val="24"/>
          <w:szCs w:val="22"/>
          <w:highlight w:val="none"/>
        </w:rPr>
        <w:t>家校准结果能满足示值误差“50 ℃±1 ℃”、</w:t>
      </w:r>
      <w:r>
        <w:rPr>
          <w:rFonts w:hint="eastAsia" w:ascii="Times New Roman" w:hAnsi="Times New Roman" w:cs="Times New Roman"/>
          <w:sz w:val="24"/>
          <w:szCs w:val="22"/>
          <w:highlight w:val="none"/>
          <w:lang w:val="en-US" w:eastAsia="zh-CN"/>
        </w:rPr>
        <w:t>5家中4</w:t>
      </w:r>
      <w:r>
        <w:rPr>
          <w:rFonts w:hint="default" w:ascii="Times New Roman" w:hAnsi="Times New Roman" w:eastAsia="宋体" w:cs="Times New Roman"/>
          <w:sz w:val="24"/>
          <w:szCs w:val="22"/>
          <w:highlight w:val="none"/>
        </w:rPr>
        <w:t>家校准结果能满足示值误差“80 ℃±</w:t>
      </w:r>
      <w:r>
        <w:rPr>
          <w:rFonts w:hint="eastAsia" w:ascii="Times New Roman" w:hAnsi="Times New Roman" w:cs="Times New Roman"/>
          <w:sz w:val="24"/>
          <w:szCs w:val="22"/>
          <w:highlight w:val="none"/>
          <w:lang w:val="en-US" w:eastAsia="zh-CN"/>
        </w:rPr>
        <w:t>2</w:t>
      </w:r>
      <w:r>
        <w:rPr>
          <w:rFonts w:hint="default" w:ascii="Times New Roman" w:hAnsi="Times New Roman" w:eastAsia="宋体" w:cs="Times New Roman"/>
          <w:sz w:val="24"/>
          <w:szCs w:val="22"/>
          <w:highlight w:val="none"/>
        </w:rPr>
        <w:t xml:space="preserve"> ℃”、</w:t>
      </w:r>
      <w:r>
        <w:rPr>
          <w:rFonts w:hint="eastAsia" w:ascii="Times New Roman" w:hAnsi="Times New Roman" w:cs="Times New Roman"/>
          <w:sz w:val="24"/>
          <w:szCs w:val="22"/>
          <w:highlight w:val="none"/>
          <w:lang w:val="en-US" w:eastAsia="zh-CN"/>
        </w:rPr>
        <w:t>5家中3</w:t>
      </w:r>
      <w:r>
        <w:rPr>
          <w:rFonts w:hint="default" w:ascii="Times New Roman" w:hAnsi="Times New Roman" w:eastAsia="宋体" w:cs="Times New Roman"/>
          <w:sz w:val="24"/>
          <w:szCs w:val="22"/>
          <w:highlight w:val="none"/>
        </w:rPr>
        <w:t>家校准结果能满足示值误差“120 ℃±</w:t>
      </w:r>
      <w:r>
        <w:rPr>
          <w:rFonts w:hint="eastAsia" w:ascii="Times New Roman" w:hAnsi="Times New Roman" w:cs="Times New Roman"/>
          <w:sz w:val="24"/>
          <w:szCs w:val="22"/>
          <w:highlight w:val="none"/>
          <w:lang w:val="en-US" w:eastAsia="zh-CN"/>
        </w:rPr>
        <w:t>3</w:t>
      </w:r>
      <w:r>
        <w:rPr>
          <w:rFonts w:hint="default" w:ascii="Times New Roman" w:hAnsi="Times New Roman" w:eastAsia="宋体" w:cs="Times New Roman"/>
          <w:sz w:val="24"/>
          <w:szCs w:val="22"/>
          <w:highlight w:val="none"/>
        </w:rPr>
        <w:t>℃”。因此表1中试验温度的技术要求规定示值误差为“50 ℃±1 ℃”、“80 ℃±</w:t>
      </w:r>
      <w:r>
        <w:rPr>
          <w:rFonts w:hint="eastAsia" w:ascii="Times New Roman" w:hAnsi="Times New Roman" w:cs="Times New Roman"/>
          <w:sz w:val="24"/>
          <w:szCs w:val="22"/>
          <w:highlight w:val="none"/>
          <w:lang w:val="en-US" w:eastAsia="zh-CN"/>
        </w:rPr>
        <w:t>2</w:t>
      </w:r>
      <w:r>
        <w:rPr>
          <w:rFonts w:hint="default" w:ascii="Times New Roman" w:hAnsi="Times New Roman" w:eastAsia="宋体" w:cs="Times New Roman"/>
          <w:sz w:val="24"/>
          <w:szCs w:val="22"/>
          <w:highlight w:val="none"/>
        </w:rPr>
        <w:t xml:space="preserve"> ℃”、“120 ℃±</w:t>
      </w:r>
      <w:r>
        <w:rPr>
          <w:rFonts w:hint="eastAsia" w:ascii="Times New Roman" w:hAnsi="Times New Roman" w:cs="Times New Roman"/>
          <w:sz w:val="24"/>
          <w:szCs w:val="22"/>
          <w:highlight w:val="none"/>
          <w:lang w:val="en-US" w:eastAsia="zh-CN"/>
        </w:rPr>
        <w:t xml:space="preserve">3 </w:t>
      </w:r>
      <w:bookmarkStart w:id="0" w:name="_GoBack"/>
      <w:bookmarkEnd w:id="0"/>
      <w:r>
        <w:rPr>
          <w:rFonts w:hint="default" w:ascii="Times New Roman" w:hAnsi="Times New Roman" w:eastAsia="宋体" w:cs="Times New Roman"/>
          <w:sz w:val="24"/>
          <w:szCs w:val="22"/>
          <w:highlight w:val="none"/>
        </w:rPr>
        <w:t>℃”。</w:t>
      </w:r>
    </w:p>
    <w:p w14:paraId="137B6316">
      <w:pPr>
        <w:numPr>
          <w:ilvl w:val="0"/>
          <w:numId w:val="3"/>
        </w:numPr>
        <w:spacing w:line="360" w:lineRule="auto"/>
        <w:ind w:firstLine="482" w:firstLineChars="200"/>
        <w:rPr>
          <w:rFonts w:hint="default" w:ascii="Times New Roman" w:hAnsi="Times New Roman" w:eastAsia="宋体" w:cs="Times New Roman"/>
          <w:sz w:val="24"/>
          <w:szCs w:val="22"/>
        </w:rPr>
      </w:pPr>
      <w:r>
        <w:rPr>
          <w:rFonts w:hint="default" w:ascii="Times New Roman" w:hAnsi="Times New Roman" w:eastAsia="宋体" w:cs="Times New Roman"/>
          <w:b/>
          <w:sz w:val="24"/>
          <w:lang w:val="en-US" w:eastAsia="zh-CN"/>
        </w:rPr>
        <w:t>摩擦系数示值误差及重复性：</w:t>
      </w:r>
      <w:r>
        <w:rPr>
          <w:rFonts w:hint="default" w:ascii="Times New Roman" w:hAnsi="Times New Roman" w:eastAsia="宋体" w:cs="Times New Roman"/>
          <w:sz w:val="24"/>
          <w:lang w:val="en-US" w:eastAsia="zh-CN"/>
        </w:rPr>
        <w:t>摩擦系数校准高度参考现厂家提供校准方</w:t>
      </w:r>
      <w:r>
        <w:rPr>
          <w:rFonts w:hint="default" w:ascii="Times New Roman" w:hAnsi="Times New Roman" w:eastAsia="宋体" w:cs="Times New Roman"/>
          <w:color w:val="auto"/>
          <w:sz w:val="24"/>
          <w:lang w:val="en-US" w:eastAsia="zh-CN"/>
        </w:rPr>
        <w:t>法，当摩擦系数示值误差较大时，需重新验证确保其他项工况参数校准符合要求。</w:t>
      </w:r>
      <w:r>
        <w:rPr>
          <w:rFonts w:hint="default" w:ascii="Times New Roman" w:hAnsi="Times New Roman" w:eastAsia="宋体" w:cs="Times New Roman"/>
          <w:color w:val="auto"/>
          <w:kern w:val="2"/>
          <w:sz w:val="24"/>
          <w:szCs w:val="24"/>
          <w:highlight w:val="none"/>
          <w:lang w:val="en-US" w:eastAsia="zh-CN" w:bidi="ar-SA"/>
        </w:rPr>
        <w:t>根据国际标准，要求“校准试验的摩擦系数结果(运行120min)与校准油的标准值之差不能超过±0.005”</w:t>
      </w:r>
      <w:r>
        <w:rPr>
          <w:rFonts w:hint="eastAsia" w:ascii="Times New Roman" w:hAnsi="Times New Roman" w:cs="Times New Roman"/>
          <w:color w:val="auto"/>
          <w:kern w:val="2"/>
          <w:sz w:val="24"/>
          <w:szCs w:val="24"/>
          <w:highlight w:val="none"/>
          <w:lang w:val="en-US" w:eastAsia="zh-CN" w:bidi="ar-SA"/>
        </w:rPr>
        <w:t>；</w:t>
      </w:r>
      <w:r>
        <w:rPr>
          <w:rFonts w:hint="default" w:ascii="Times New Roman" w:hAnsi="Times New Roman" w:eastAsia="宋体" w:cs="Times New Roman"/>
          <w:color w:val="auto"/>
          <w:kern w:val="2"/>
          <w:sz w:val="24"/>
          <w:szCs w:val="24"/>
          <w:highlight w:val="none"/>
          <w:lang w:val="en-US" w:eastAsia="zh-CN" w:bidi="ar-SA"/>
        </w:rPr>
        <w:t>根据设备验收文件，厂家提供用于验证设备摩擦系数准确性的参考物质，其定值为0.123±5%；根据客户要求，摩擦系数示值误差≤±0.005，重复性≤0.002；根据实验报告，6家中3家校准结果均能满足示值误差≤±0.005，重复性≤0.002；因此表1摩擦系数技术要求规定示值误差±5%，重复性≤2%。</w:t>
      </w:r>
    </w:p>
    <w:p w14:paraId="52A5C6A0">
      <w:pPr>
        <w:spacing w:line="360" w:lineRule="auto"/>
        <w:rPr>
          <w:rFonts w:ascii="黑体" w:hAnsi="黑体" w:eastAsia="黑体"/>
          <w:sz w:val="28"/>
          <w:szCs w:val="28"/>
        </w:rPr>
      </w:pPr>
      <w:r>
        <w:rPr>
          <w:rFonts w:hint="eastAsia" w:ascii="黑体" w:hAnsi="黑体" w:eastAsia="黑体"/>
          <w:sz w:val="28"/>
          <w:szCs w:val="28"/>
        </w:rPr>
        <w:t>6  结束语</w:t>
      </w:r>
    </w:p>
    <w:p w14:paraId="7F477138">
      <w:pPr>
        <w:spacing w:line="360" w:lineRule="auto"/>
        <w:ind w:firstLine="480" w:firstLineChars="200"/>
      </w:pPr>
      <w:r>
        <w:rPr>
          <w:rFonts w:hint="eastAsia" w:ascii="Times New Roman" w:hAnsi="Times New Roman" w:cs="Times New Roman"/>
          <w:sz w:val="24"/>
        </w:rPr>
        <w:t>本规范的编制依据</w:t>
      </w:r>
      <w:r>
        <w:rPr>
          <w:rFonts w:ascii="Times New Roman" w:hAnsi="Times New Roman" w:cs="Times New Roman"/>
          <w:sz w:val="24"/>
        </w:rPr>
        <w:t>JJF1071-2010《国家计量校准规范编写规则》</w:t>
      </w:r>
      <w:r>
        <w:rPr>
          <w:rFonts w:hint="eastAsia" w:ascii="Times New Roman" w:hAnsi="Times New Roman" w:cs="Times New Roman"/>
          <w:sz w:val="24"/>
        </w:rPr>
        <w:t>，仅给出计量特性及校准项目及方法，未给出符合性判定，希望委员和专家们提出宝贵意见，使规范更加完善和适用。</w:t>
      </w:r>
    </w:p>
    <w:p w14:paraId="24F8EC92"/>
    <w:p w14:paraId="365584E9">
      <w:pPr>
        <w:pStyle w:val="2"/>
        <w:jc w:val="right"/>
        <w:rPr>
          <w:rFonts w:ascii="Times New Roman" w:hAnsi="Times New Roman" w:cs="Times New Roman"/>
          <w:b w:val="0"/>
          <w:sz w:val="24"/>
          <w:szCs w:val="24"/>
          <w:highlight w:val="none"/>
        </w:rPr>
      </w:pPr>
      <w:r>
        <w:rPr>
          <w:rFonts w:hint="eastAsia" w:ascii="Times New Roman" w:hAnsi="Times New Roman" w:cs="Times New Roman"/>
          <w:b w:val="0"/>
          <w:sz w:val="24"/>
          <w:szCs w:val="24"/>
          <w:highlight w:val="none"/>
          <w:lang w:val="en-US" w:eastAsia="zh-CN"/>
        </w:rPr>
        <w:t>高频往复式摩擦磨损试验机校准规范</w:t>
      </w:r>
      <w:r>
        <w:rPr>
          <w:rFonts w:hint="eastAsia" w:ascii="Times New Roman" w:hAnsi="Times New Roman" w:cs="Times New Roman"/>
          <w:b w:val="0"/>
          <w:sz w:val="24"/>
          <w:szCs w:val="24"/>
          <w:highlight w:val="none"/>
        </w:rPr>
        <w:t>起草小组</w:t>
      </w:r>
    </w:p>
    <w:p w14:paraId="25D25332">
      <w:pPr>
        <w:jc w:val="right"/>
        <w:rPr>
          <w:rFonts w:hint="default" w:ascii="Times New Roman" w:hAnsi="Times New Roman" w:cs="Times New Roman"/>
          <w:sz w:val="24"/>
          <w:szCs w:val="24"/>
          <w:highlight w:val="none"/>
          <w:lang w:val="en-US" w:eastAsia="zh-CN"/>
        </w:rPr>
      </w:pPr>
      <w:r>
        <w:rPr>
          <w:rFonts w:hint="eastAsia"/>
          <w:highlight w:val="none"/>
        </w:rPr>
        <w:t xml:space="preserve">                                                              </w:t>
      </w:r>
      <w:r>
        <w:rPr>
          <w:rFonts w:hint="default" w:ascii="Times New Roman" w:hAnsi="Times New Roman" w:cs="Times New Roman"/>
          <w:sz w:val="24"/>
          <w:szCs w:val="24"/>
          <w:highlight w:val="none"/>
        </w:rPr>
        <w:t xml:space="preserve">   202</w:t>
      </w:r>
      <w:r>
        <w:rPr>
          <w:rFonts w:hint="eastAsia" w:ascii="Times New Roman" w:hAnsi="Times New Roman" w:cs="Times New Roman"/>
          <w:sz w:val="24"/>
          <w:szCs w:val="24"/>
          <w:highlight w:val="none"/>
          <w:lang w:val="en-US" w:eastAsia="zh-CN"/>
        </w:rPr>
        <w:t>5.05.20</w:t>
      </w:r>
    </w:p>
    <w:p w14:paraId="12725F05">
      <w:pPr>
        <w:jc w:val="right"/>
        <w:rPr>
          <w:rFonts w:hint="default" w:ascii="Times New Roman" w:hAnsi="Times New Roman" w:cs="Times New Roman"/>
          <w:sz w:val="24"/>
          <w:szCs w:val="24"/>
          <w:highlight w:val="none"/>
          <w:lang w:val="en-US" w:eastAsia="zh-CN"/>
        </w:rPr>
      </w:pPr>
    </w:p>
    <w:p w14:paraId="1EB88E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skerville Old Face">
    <w:panose1 w:val="02020602080505020303"/>
    <w:charset w:val="00"/>
    <w:family w:val="roman"/>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CB6AF8"/>
    <w:multiLevelType w:val="singleLevel"/>
    <w:tmpl w:val="F8CB6AF8"/>
    <w:lvl w:ilvl="0" w:tentative="0">
      <w:start w:val="1"/>
      <w:numFmt w:val="decimal"/>
      <w:suff w:val="nothing"/>
      <w:lvlText w:val="%1、"/>
      <w:lvlJc w:val="left"/>
    </w:lvl>
  </w:abstractNum>
  <w:abstractNum w:abstractNumId="1">
    <w:nsid w:val="50402116"/>
    <w:multiLevelType w:val="singleLevel"/>
    <w:tmpl w:val="50402116"/>
    <w:lvl w:ilvl="0" w:tentative="0">
      <w:start w:val="1"/>
      <w:numFmt w:val="decimal"/>
      <w:suff w:val="nothing"/>
      <w:lvlText w:val="%1、"/>
      <w:lvlJc w:val="left"/>
    </w:lvl>
  </w:abstractNum>
  <w:abstractNum w:abstractNumId="2">
    <w:nsid w:val="51626689"/>
    <w:multiLevelType w:val="multilevel"/>
    <w:tmpl w:val="51626689"/>
    <w:lvl w:ilvl="0" w:tentative="0">
      <w:start w:val="1"/>
      <w:numFmt w:val="decimal"/>
      <w:lvlText w:val="%1"/>
      <w:lvlJc w:val="left"/>
      <w:pPr>
        <w:ind w:left="2628" w:hanging="360"/>
      </w:pPr>
      <w:rPr>
        <w:rFonts w:hint="eastAsia"/>
      </w:rPr>
    </w:lvl>
    <w:lvl w:ilvl="1" w:tentative="0">
      <w:start w:val="1"/>
      <w:numFmt w:val="decimal"/>
      <w:pStyle w:val="16"/>
      <w:isLgl/>
      <w:lvlText w:val="%1.%2"/>
      <w:lvlJc w:val="left"/>
      <w:pPr>
        <w:ind w:left="405" w:hanging="405"/>
      </w:pPr>
      <w:rPr>
        <w:rFonts w:hint="default" w:ascii="黑体" w:hAnsi="黑体" w:eastAsia="黑体"/>
      </w:rPr>
    </w:lvl>
    <w:lvl w:ilvl="2" w:tentative="0">
      <w:start w:val="1"/>
      <w:numFmt w:val="decimal"/>
      <w:isLgl/>
      <w:lvlText w:val="%1.%2.%3"/>
      <w:lvlJc w:val="left"/>
      <w:pPr>
        <w:ind w:left="862" w:hanging="720"/>
      </w:pPr>
      <w:rPr>
        <w:rFonts w:hint="default" w:ascii="黑体" w:hAnsi="黑体" w:eastAsia="黑体" w:cs="Times New Roman"/>
      </w:rPr>
    </w:lvl>
    <w:lvl w:ilvl="3" w:tentative="0">
      <w:start w:val="1"/>
      <w:numFmt w:val="decimal"/>
      <w:isLgl/>
      <w:lvlText w:val="%1.%2.%3.%4"/>
      <w:lvlJc w:val="left"/>
      <w:pPr>
        <w:ind w:left="284" w:hanging="284"/>
      </w:pPr>
      <w:rPr>
        <w:rFonts w:hint="default" w:ascii="黑体" w:hAnsi="黑体" w:eastAsia="黑体" w:cs="Times New Roman"/>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MWIxNDNiYjY3MTNkODYwY2VmM2UxM2Y1OTVhMmIifQ=="/>
  </w:docVars>
  <w:rsids>
    <w:rsidRoot w:val="00A63A3B"/>
    <w:rsid w:val="00040CF2"/>
    <w:rsid w:val="00060BE7"/>
    <w:rsid w:val="000A6AD6"/>
    <w:rsid w:val="000A7679"/>
    <w:rsid w:val="000C473F"/>
    <w:rsid w:val="000D02D1"/>
    <w:rsid w:val="000E33C3"/>
    <w:rsid w:val="000F3AE0"/>
    <w:rsid w:val="0013103C"/>
    <w:rsid w:val="001315BA"/>
    <w:rsid w:val="0013729E"/>
    <w:rsid w:val="00264F75"/>
    <w:rsid w:val="002A4DEC"/>
    <w:rsid w:val="002C04A9"/>
    <w:rsid w:val="0030230B"/>
    <w:rsid w:val="0033678D"/>
    <w:rsid w:val="00351D23"/>
    <w:rsid w:val="00360E15"/>
    <w:rsid w:val="003622BB"/>
    <w:rsid w:val="003C1318"/>
    <w:rsid w:val="00454BC7"/>
    <w:rsid w:val="00503A59"/>
    <w:rsid w:val="00522C26"/>
    <w:rsid w:val="005437D9"/>
    <w:rsid w:val="00545F49"/>
    <w:rsid w:val="0057338C"/>
    <w:rsid w:val="00596976"/>
    <w:rsid w:val="005A0EA8"/>
    <w:rsid w:val="005C2780"/>
    <w:rsid w:val="005C791A"/>
    <w:rsid w:val="005F1CC5"/>
    <w:rsid w:val="006039FE"/>
    <w:rsid w:val="00631D8C"/>
    <w:rsid w:val="006339A9"/>
    <w:rsid w:val="0064799A"/>
    <w:rsid w:val="006712DC"/>
    <w:rsid w:val="006B66F0"/>
    <w:rsid w:val="006D22FC"/>
    <w:rsid w:val="006D7E7E"/>
    <w:rsid w:val="00751A23"/>
    <w:rsid w:val="00782D93"/>
    <w:rsid w:val="007D3C84"/>
    <w:rsid w:val="00825989"/>
    <w:rsid w:val="00843387"/>
    <w:rsid w:val="00847B1D"/>
    <w:rsid w:val="008531F9"/>
    <w:rsid w:val="008617CA"/>
    <w:rsid w:val="00866AFA"/>
    <w:rsid w:val="008A71CC"/>
    <w:rsid w:val="008C728F"/>
    <w:rsid w:val="008F22F4"/>
    <w:rsid w:val="009076E9"/>
    <w:rsid w:val="00915077"/>
    <w:rsid w:val="009523B5"/>
    <w:rsid w:val="00983611"/>
    <w:rsid w:val="00991FD5"/>
    <w:rsid w:val="009A7313"/>
    <w:rsid w:val="009C2728"/>
    <w:rsid w:val="00A63A3B"/>
    <w:rsid w:val="00A8680B"/>
    <w:rsid w:val="00AB3EB7"/>
    <w:rsid w:val="00AD1E27"/>
    <w:rsid w:val="00AF6C6C"/>
    <w:rsid w:val="00B139D6"/>
    <w:rsid w:val="00B14630"/>
    <w:rsid w:val="00B16800"/>
    <w:rsid w:val="00B24D48"/>
    <w:rsid w:val="00B33759"/>
    <w:rsid w:val="00B51897"/>
    <w:rsid w:val="00B84FA6"/>
    <w:rsid w:val="00BA7152"/>
    <w:rsid w:val="00BF3F99"/>
    <w:rsid w:val="00C15332"/>
    <w:rsid w:val="00C42C39"/>
    <w:rsid w:val="00C7066D"/>
    <w:rsid w:val="00C775C3"/>
    <w:rsid w:val="00C95C7A"/>
    <w:rsid w:val="00C976D8"/>
    <w:rsid w:val="00CA0067"/>
    <w:rsid w:val="00D05B25"/>
    <w:rsid w:val="00D62C28"/>
    <w:rsid w:val="00D92FBC"/>
    <w:rsid w:val="00DA6C8D"/>
    <w:rsid w:val="00DC5FEE"/>
    <w:rsid w:val="00DE339F"/>
    <w:rsid w:val="00E12F43"/>
    <w:rsid w:val="00E37138"/>
    <w:rsid w:val="00E60498"/>
    <w:rsid w:val="00EC2CA5"/>
    <w:rsid w:val="00F102B8"/>
    <w:rsid w:val="00F56844"/>
    <w:rsid w:val="00F74E97"/>
    <w:rsid w:val="00F76BCD"/>
    <w:rsid w:val="00FD17D7"/>
    <w:rsid w:val="0A6034E2"/>
    <w:rsid w:val="0CBF0B1F"/>
    <w:rsid w:val="17592CE2"/>
    <w:rsid w:val="18020E32"/>
    <w:rsid w:val="1E62755C"/>
    <w:rsid w:val="2A4968FD"/>
    <w:rsid w:val="2DF30935"/>
    <w:rsid w:val="2E4A4575"/>
    <w:rsid w:val="2ED8183A"/>
    <w:rsid w:val="353950F5"/>
    <w:rsid w:val="35731625"/>
    <w:rsid w:val="37F74CB5"/>
    <w:rsid w:val="3FBA5BA8"/>
    <w:rsid w:val="440E2F7D"/>
    <w:rsid w:val="450C20EA"/>
    <w:rsid w:val="47B66BC0"/>
    <w:rsid w:val="47D231DD"/>
    <w:rsid w:val="4D437B51"/>
    <w:rsid w:val="4FBD1F95"/>
    <w:rsid w:val="54F95ED8"/>
    <w:rsid w:val="55892C14"/>
    <w:rsid w:val="55975F5A"/>
    <w:rsid w:val="6EBA7D2A"/>
    <w:rsid w:val="748721D9"/>
    <w:rsid w:val="759F27B5"/>
    <w:rsid w:val="7A8A05F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askerville Old Face" w:hAnsi="Baskerville Old Face" w:eastAsia="宋体" w:cs="Baskerville Old Face"/>
      <w:kern w:val="2"/>
      <w:sz w:val="21"/>
      <w:szCs w:val="24"/>
      <w:lang w:val="en-US" w:eastAsia="zh-CN" w:bidi="ar-SA"/>
    </w:rPr>
  </w:style>
  <w:style w:type="paragraph" w:styleId="2">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13"/>
    <w:qFormat/>
    <w:uiPriority w:val="0"/>
    <w:pPr>
      <w:ind w:firstLine="10270" w:firstLineChars="1975"/>
    </w:pPr>
    <w:rPr>
      <w:rFonts w:ascii="宋体" w:hAnsi="Times New Roman" w:cs="Times New Roman"/>
      <w:sz w:val="52"/>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rPr>
      <w:rFonts w:ascii="Baskerville Old Face" w:hAnsi="Baskerville Old Face" w:eastAsia="宋体" w:cs="Baskerville Old Fac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rFonts w:ascii="黑体" w:hAnsi="宋体" w:eastAsia="黑体"/>
      <w:sz w:val="28"/>
    </w:rPr>
  </w:style>
  <w:style w:type="character" w:styleId="10">
    <w:name w:val="Emphasis"/>
    <w:qFormat/>
    <w:uiPriority w:val="0"/>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正文文本缩进 2 Char"/>
    <w:basedOn w:val="8"/>
    <w:link w:val="3"/>
    <w:qFormat/>
    <w:uiPriority w:val="0"/>
    <w:rPr>
      <w:rFonts w:ascii="宋体" w:hAnsi="Times New Roman" w:eastAsia="宋体" w:cs="Times New Roman"/>
      <w:sz w:val="52"/>
      <w:szCs w:val="24"/>
    </w:rPr>
  </w:style>
  <w:style w:type="paragraph" w:styleId="14">
    <w:name w:val="List Paragraph"/>
    <w:basedOn w:val="1"/>
    <w:qFormat/>
    <w:uiPriority w:val="34"/>
    <w:pPr>
      <w:ind w:firstLine="420" w:firstLineChars="200"/>
    </w:pPr>
  </w:style>
  <w:style w:type="character" w:customStyle="1" w:styleId="15">
    <w:name w:val="?标题3 Char"/>
    <w:link w:val="16"/>
    <w:qFormat/>
    <w:uiPriority w:val="0"/>
    <w:rPr>
      <w:rFonts w:ascii="宋体" w:hAnsi="宋体"/>
      <w:sz w:val="24"/>
      <w:szCs w:val="24"/>
    </w:rPr>
  </w:style>
  <w:style w:type="paragraph" w:customStyle="1" w:styleId="16">
    <w:name w:val="?标题3"/>
    <w:basedOn w:val="1"/>
    <w:link w:val="15"/>
    <w:qFormat/>
    <w:uiPriority w:val="0"/>
    <w:pPr>
      <w:numPr>
        <w:ilvl w:val="1"/>
        <w:numId w:val="1"/>
      </w:numPr>
      <w:spacing w:line="360" w:lineRule="auto"/>
      <w:outlineLvl w:val="0"/>
    </w:pPr>
    <w:rPr>
      <w:rFonts w:ascii="宋体" w:hAnsi="宋体" w:eastAsiaTheme="minorEastAsia" w:cstheme="minorBidi"/>
      <w:sz w:val="24"/>
    </w:rPr>
  </w:style>
  <w:style w:type="character" w:customStyle="1" w:styleId="17">
    <w:name w:val="?附录 Char"/>
    <w:link w:val="18"/>
    <w:qFormat/>
    <w:uiPriority w:val="0"/>
    <w:rPr>
      <w:szCs w:val="24"/>
    </w:rPr>
  </w:style>
  <w:style w:type="paragraph" w:customStyle="1" w:styleId="18">
    <w:name w:val="?附录"/>
    <w:basedOn w:val="1"/>
    <w:next w:val="2"/>
    <w:link w:val="17"/>
    <w:qFormat/>
    <w:uiPriority w:val="0"/>
    <w:pPr>
      <w:tabs>
        <w:tab w:val="left" w:pos="360"/>
      </w:tabs>
      <w:spacing w:line="360" w:lineRule="auto"/>
    </w:pPr>
    <w:rPr>
      <w:rFonts w:asciiTheme="minorHAnsi" w:hAnsiTheme="minorHAnsi" w:eastAsiaTheme="minorEastAsia" w:cstheme="minorBidi"/>
    </w:rPr>
  </w:style>
  <w:style w:type="character" w:customStyle="1" w:styleId="19">
    <w:name w:val="标题 3 Char"/>
    <w:basedOn w:val="8"/>
    <w:link w:val="2"/>
    <w:qFormat/>
    <w:uiPriority w:val="9"/>
    <w:rPr>
      <w:rFonts w:ascii="Baskerville Old Face" w:hAnsi="Baskerville Old Face" w:eastAsia="宋体" w:cs="Baskerville Old Face"/>
      <w:b/>
      <w:bCs/>
      <w:sz w:val="32"/>
      <w:szCs w:val="32"/>
    </w:rPr>
  </w:style>
  <w:style w:type="paragraph" w:customStyle="1" w:styleId="2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Users</Company>
  <Pages>4</Pages>
  <Words>2701</Words>
  <Characters>3069</Characters>
  <Lines>16</Lines>
  <Paragraphs>4</Paragraphs>
  <TotalTime>1</TotalTime>
  <ScaleCrop>false</ScaleCrop>
  <LinksUpToDate>false</LinksUpToDate>
  <CharactersWithSpaces>3184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2022-11-07T06:36:00Z</dcterms:created>
  <dc:creator>Administrator</dc:creator>
  <cp:lastModifiedBy>Samarium</cp:lastModifiedBy>
  <dcterms:modified xsi:type="dcterms:W3CDTF">2025-07-02T03:23:34Z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D143A7B52BCF4D3189098F34461D861E_13</vt:lpwstr>
  </property>
  <property fmtid="{D5CDD505-2E9C-101B-9397-08002B2CF9AE}" pid="4" name="KSOTemplateDocerSaveRecord">
    <vt:lpwstr>eyJoZGlkIjoiNzU1NmFkYjM2ZjVlNjlhYTExODFlMTExZDY5YzQ0NzkiLCJ1c2VySWQiOiI0NTYzNDA0MTUifQ==</vt:lpwstr>
  </property>
</Properties>
</file>